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36E3">
      <w:pPr>
        <w:spacing w:line="560" w:lineRule="exact"/>
        <w:outlineLvl w:val="0"/>
        <w:rPr>
          <w:rFonts w:ascii="Times New Roman" w:hAnsi="Times New Roman" w:cs="宋体"/>
          <w:b/>
          <w:bCs/>
          <w:sz w:val="32"/>
          <w:szCs w:val="32"/>
        </w:rPr>
      </w:pPr>
      <w:bookmarkStart w:id="2" w:name="_GoBack"/>
      <w:r>
        <w:rPr>
          <w:rFonts w:hint="eastAsia" w:ascii="Times New Roman" w:hAnsi="Times New Roman" w:cs="宋体"/>
          <w:b/>
          <w:bCs/>
          <w:sz w:val="32"/>
          <w:szCs w:val="32"/>
        </w:rPr>
        <w:t>附件1</w:t>
      </w:r>
    </w:p>
    <w:p w14:paraId="66834993">
      <w:pPr>
        <w:snapToGrid w:val="0"/>
        <w:spacing w:line="360" w:lineRule="auto"/>
        <w:jc w:val="center"/>
        <w:rPr>
          <w:rFonts w:hint="eastAsia" w:ascii="黑体" w:hAnsi="黑体" w:eastAsia="黑体" w:cs="宋体"/>
          <w:b/>
          <w:bCs/>
          <w:color w:val="3C3C3C"/>
          <w:sz w:val="44"/>
          <w:szCs w:val="44"/>
          <w:shd w:val="clear" w:color="auto" w:fill="FFFFFF"/>
        </w:rPr>
      </w:pPr>
      <w:bookmarkStart w:id="0" w:name="_Hlk191457057"/>
      <w:r>
        <w:rPr>
          <w:rFonts w:hint="eastAsia" w:ascii="黑体" w:hAnsi="黑体" w:eastAsia="黑体" w:cs="宋体"/>
          <w:b/>
          <w:bCs/>
          <w:color w:val="3C3C3C"/>
          <w:sz w:val="44"/>
          <w:szCs w:val="44"/>
          <w:shd w:val="clear" w:color="auto" w:fill="FFFFFF"/>
          <w:lang w:val="en-US" w:eastAsia="zh-CN"/>
        </w:rPr>
        <w:t>专项</w:t>
      </w:r>
      <w:r>
        <w:rPr>
          <w:rFonts w:hint="eastAsia" w:ascii="黑体" w:hAnsi="黑体" w:eastAsia="黑体" w:cs="宋体"/>
          <w:b/>
          <w:bCs/>
          <w:color w:val="3C3C3C"/>
          <w:sz w:val="44"/>
          <w:szCs w:val="44"/>
          <w:shd w:val="clear" w:color="auto" w:fill="FFFFFF"/>
        </w:rPr>
        <w:t>申报指南</w:t>
      </w:r>
      <w:bookmarkEnd w:id="0"/>
    </w:p>
    <w:bookmarkEnd w:id="2"/>
    <w:p w14:paraId="55AA8590">
      <w:pPr>
        <w:snapToGrid w:val="0"/>
        <w:spacing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bookmarkStart w:id="1" w:name="_Hlk192664732"/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项目</w:t>
      </w:r>
      <w:r>
        <w:rPr>
          <w:rFonts w:ascii="仿宋" w:hAnsi="仿宋" w:eastAsia="仿宋" w:cs="宋体"/>
          <w:color w:val="000000"/>
          <w:sz w:val="32"/>
          <w:szCs w:val="32"/>
        </w:rPr>
        <w:t>应紧密围绕国家重大战略部署与中创会职能，聚焦“产学研融合”规划创新生态融合引领研究的关键环节与未来布局，设立以下六大重点研究领域。申报单位可从以下方向中选择，也可结合实践自拟题目。</w:t>
      </w:r>
    </w:p>
    <w:p w14:paraId="09D2CB25">
      <w:pPr>
        <w:snapToGrid w:val="0"/>
        <w:spacing w:line="360" w:lineRule="auto"/>
        <w:ind w:firstLine="643" w:firstLineChars="200"/>
        <w:rPr>
          <w:rFonts w:hint="eastAsia" w:ascii="黑体" w:hAnsi="黑体" w:eastAsia="黑体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一、前沿技术与未来产业</w:t>
      </w:r>
    </w:p>
    <w:p w14:paraId="76C7F825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人工智能与大模型协同攻关</w:t>
      </w:r>
    </w:p>
    <w:p w14:paraId="70879C00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量子信息技术研发与生态构建</w:t>
      </w:r>
    </w:p>
    <w:p w14:paraId="1D788FE2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元宇宙与虚实融合技术</w:t>
      </w:r>
    </w:p>
    <w:p w14:paraId="35348986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新能源与智能电网协同</w:t>
      </w:r>
    </w:p>
    <w:p w14:paraId="3B8CAAE7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低空经济与城市空中交通</w:t>
      </w:r>
    </w:p>
    <w:p w14:paraId="1E8535DD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合成生物学与基因编辑技术</w:t>
      </w:r>
    </w:p>
    <w:p w14:paraId="77701FDF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新材料研发与产业化</w:t>
      </w:r>
    </w:p>
    <w:p w14:paraId="23839DE2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生物医药与医疗装备创新</w:t>
      </w:r>
    </w:p>
    <w:p w14:paraId="0B4CA1EC">
      <w:pPr>
        <w:numPr>
          <w:ilvl w:val="0"/>
          <w:numId w:val="1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数字化转型与工业互联网</w:t>
      </w:r>
    </w:p>
    <w:p w14:paraId="15ECA4C4">
      <w:pPr>
        <w:snapToGrid w:val="0"/>
        <w:spacing w:line="360" w:lineRule="auto"/>
        <w:ind w:left="63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Segoe UI"/>
          <w:color w:val="404040"/>
          <w:kern w:val="0"/>
          <w:sz w:val="32"/>
          <w:szCs w:val="32"/>
        </w:rPr>
        <w:t>10.</w:t>
      </w: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空天海洋探测与装备技术</w:t>
      </w:r>
    </w:p>
    <w:p w14:paraId="3279B85D">
      <w:pPr>
        <w:snapToGrid w:val="0"/>
        <w:spacing w:line="360" w:lineRule="auto"/>
        <w:ind w:left="630" w:leftChars="300"/>
        <w:rPr>
          <w:rFonts w:hint="eastAsia" w:ascii="黑体" w:hAnsi="黑体" w:eastAsia="黑体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二、绿色发展与可持续转型</w:t>
      </w:r>
    </w:p>
    <w:p w14:paraId="02A2945E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碳捕集利用与循环经济技术</w:t>
      </w:r>
    </w:p>
    <w:p w14:paraId="32227FB0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绿色金融与低碳创新机制</w:t>
      </w:r>
    </w:p>
    <w:p w14:paraId="70895CDA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新能源材料与储能技术</w:t>
      </w:r>
    </w:p>
    <w:p w14:paraId="60BC06D6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生态产品价值实现路径</w:t>
      </w:r>
    </w:p>
    <w:p w14:paraId="285F3276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传统产业绿色改造协同</w:t>
      </w:r>
    </w:p>
    <w:p w14:paraId="671F8FDD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智慧农业与食品营养安全</w:t>
      </w:r>
    </w:p>
    <w:p w14:paraId="40DEF790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生物制造与绿色材料</w:t>
      </w:r>
    </w:p>
    <w:p w14:paraId="44CC26D4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低碳交通与能源协同</w:t>
      </w:r>
    </w:p>
    <w:p w14:paraId="66FA72D9">
      <w:pPr>
        <w:numPr>
          <w:ilvl w:val="0"/>
          <w:numId w:val="2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海洋资源可持续开发</w:t>
      </w:r>
    </w:p>
    <w:p w14:paraId="3114D4E3">
      <w:pPr>
        <w:snapToGrid w:val="0"/>
        <w:spacing w:line="360" w:lineRule="auto"/>
        <w:ind w:left="63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Segoe UI"/>
          <w:color w:val="404040"/>
          <w:kern w:val="0"/>
          <w:sz w:val="32"/>
          <w:szCs w:val="32"/>
        </w:rPr>
        <w:t>10.</w:t>
      </w: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环境治理与生态修复技术</w:t>
      </w:r>
    </w:p>
    <w:p w14:paraId="0737CB14">
      <w:pPr>
        <w:snapToGrid w:val="0"/>
        <w:spacing w:line="360" w:lineRule="auto"/>
        <w:ind w:left="630" w:leftChars="300"/>
        <w:rPr>
          <w:rFonts w:hint="eastAsia" w:ascii="黑体" w:hAnsi="黑体" w:eastAsia="黑体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三、产教融合与人才培养</w:t>
      </w:r>
    </w:p>
    <w:p w14:paraId="0276841A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现代学徒制与产业导师队伍建设</w:t>
      </w:r>
    </w:p>
    <w:p w14:paraId="17B69803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职业教育集团治理与国际化</w:t>
      </w:r>
    </w:p>
    <w:p w14:paraId="52F27844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微专业协同开发与认证机制</w:t>
      </w:r>
    </w:p>
    <w:p w14:paraId="3AFCBCFE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校企联合实验室与产业学院</w:t>
      </w:r>
    </w:p>
    <w:p w14:paraId="0CEB3285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青年科技人才政治引领</w:t>
      </w:r>
    </w:p>
    <w:p w14:paraId="35FDCE6A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终身学习服务体系构建</w:t>
      </w:r>
    </w:p>
    <w:p w14:paraId="64E497E4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医工交叉人才培养模式</w:t>
      </w:r>
    </w:p>
    <w:p w14:paraId="30A3E86F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人工智能伦理与科技诚信教育</w:t>
      </w:r>
    </w:p>
    <w:p w14:paraId="1B18C5AA">
      <w:pPr>
        <w:numPr>
          <w:ilvl w:val="0"/>
          <w:numId w:val="3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国际顶尖人才引育用留机制</w:t>
      </w:r>
    </w:p>
    <w:p w14:paraId="2063CE58">
      <w:pPr>
        <w:snapToGrid w:val="0"/>
        <w:spacing w:line="360" w:lineRule="auto"/>
        <w:ind w:left="63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Segoe UI"/>
          <w:color w:val="404040"/>
          <w:kern w:val="0"/>
          <w:sz w:val="32"/>
          <w:szCs w:val="32"/>
        </w:rPr>
        <w:t>10.</w:t>
      </w: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科学家精神与工匠精神融合培育</w:t>
      </w:r>
    </w:p>
    <w:p w14:paraId="2FEFD9AA">
      <w:pPr>
        <w:snapToGrid w:val="0"/>
        <w:spacing w:line="360" w:lineRule="auto"/>
        <w:ind w:left="630" w:leftChars="300"/>
        <w:rPr>
          <w:rFonts w:hint="eastAsia" w:ascii="黑体" w:hAnsi="黑体" w:eastAsia="黑体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四、国际合作与开放创新</w:t>
      </w:r>
    </w:p>
    <w:p w14:paraId="1F7E247A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国际大科学计划参与机制</w:t>
      </w:r>
    </w:p>
    <w:p w14:paraId="454A2E5E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“一带一路”联合实验室建设</w:t>
      </w:r>
    </w:p>
    <w:p w14:paraId="49E1A204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国际标准制定与产业协同</w:t>
      </w:r>
    </w:p>
    <w:p w14:paraId="7011536F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跨境研发协同与知识产权管理</w:t>
      </w:r>
    </w:p>
    <w:p w14:paraId="63BABD50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职业教育国际化与出海模式</w:t>
      </w:r>
    </w:p>
    <w:p w14:paraId="0DFD86CC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全球创新网络构建</w:t>
      </w:r>
    </w:p>
    <w:p w14:paraId="522906B1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国际科技合作平台治理</w:t>
      </w:r>
    </w:p>
    <w:p w14:paraId="0AF29231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跨国技术转移与成果转化</w:t>
      </w:r>
    </w:p>
    <w:p w14:paraId="16DF05C5">
      <w:pPr>
        <w:numPr>
          <w:ilvl w:val="0"/>
          <w:numId w:val="4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海外高层次人才引进政策</w:t>
      </w:r>
    </w:p>
    <w:p w14:paraId="04ED113D">
      <w:pPr>
        <w:snapToGrid w:val="0"/>
        <w:spacing w:line="360" w:lineRule="auto"/>
        <w:ind w:left="63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Segoe UI"/>
          <w:color w:val="404040"/>
          <w:kern w:val="0"/>
          <w:sz w:val="32"/>
          <w:szCs w:val="32"/>
        </w:rPr>
        <w:t>10.</w:t>
      </w: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国际科技伦理协同治理</w:t>
      </w:r>
    </w:p>
    <w:p w14:paraId="15BB0D41">
      <w:pPr>
        <w:snapToGrid w:val="0"/>
        <w:spacing w:line="360" w:lineRule="auto"/>
        <w:ind w:left="630" w:leftChars="300"/>
        <w:rPr>
          <w:rFonts w:hint="eastAsia" w:ascii="黑体" w:hAnsi="黑体" w:eastAsia="黑体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五、党建融合与创新治理</w:t>
      </w:r>
    </w:p>
    <w:p w14:paraId="43F84404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党组织在创新联合体中的作用机制</w:t>
      </w:r>
    </w:p>
    <w:p w14:paraId="26561948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党建引领下科技伦理共同体建设</w:t>
      </w:r>
    </w:p>
    <w:p w14:paraId="5014B21A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重大科技项目临时党支部建设</w:t>
      </w:r>
    </w:p>
    <w:p w14:paraId="45016C35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创新生态评价与监测体系</w:t>
      </w:r>
    </w:p>
    <w:p w14:paraId="62A10225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科技政策评估与治理工具</w:t>
      </w:r>
    </w:p>
    <w:p w14:paraId="55DC3DED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创新文化建设与传播机制</w:t>
      </w:r>
    </w:p>
    <w:p w14:paraId="7D4089EE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科技诚信体系协同治理</w:t>
      </w:r>
    </w:p>
    <w:p w14:paraId="2FF871B0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产学研合作中的党建赋能路径</w:t>
      </w:r>
    </w:p>
    <w:p w14:paraId="692E3B16">
      <w:pPr>
        <w:numPr>
          <w:ilvl w:val="0"/>
          <w:numId w:val="5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青年科技人才思想政治引领</w:t>
      </w:r>
    </w:p>
    <w:p w14:paraId="2D9DA624">
      <w:pPr>
        <w:snapToGrid w:val="0"/>
        <w:spacing w:line="360" w:lineRule="auto"/>
        <w:ind w:left="63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Segoe UI"/>
          <w:color w:val="404040"/>
          <w:kern w:val="0"/>
          <w:sz w:val="32"/>
          <w:szCs w:val="32"/>
        </w:rPr>
        <w:t>10.</w:t>
      </w: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科技安全与风险防控体系</w:t>
      </w:r>
    </w:p>
    <w:p w14:paraId="13FB832E">
      <w:pPr>
        <w:snapToGrid w:val="0"/>
        <w:spacing w:line="360" w:lineRule="auto"/>
        <w:ind w:left="630" w:leftChars="300"/>
        <w:rPr>
          <w:rFonts w:hint="eastAsia" w:ascii="黑体" w:hAnsi="黑体" w:eastAsia="黑体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六、产业协同与生态构建</w:t>
      </w:r>
    </w:p>
    <w:p w14:paraId="32E435DB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工业母机与智能制造协同</w:t>
      </w:r>
    </w:p>
    <w:p w14:paraId="77F2EA99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产业链数字化转型服务</w:t>
      </w:r>
    </w:p>
    <w:p w14:paraId="3D1ED9D5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科技服务业枢纽作用机制</w:t>
      </w:r>
    </w:p>
    <w:p w14:paraId="639789BB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金融服务科技创新模式</w:t>
      </w:r>
    </w:p>
    <w:p w14:paraId="478BC478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平台经济标准化与治理</w:t>
      </w:r>
    </w:p>
    <w:p w14:paraId="57FCFAE5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现代服务业国际化协同</w:t>
      </w:r>
    </w:p>
    <w:p w14:paraId="1F321216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企业院校深度合作模式</w:t>
      </w:r>
    </w:p>
    <w:p w14:paraId="5EECA93C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创新联合体治理机制</w:t>
      </w:r>
    </w:p>
    <w:p w14:paraId="38255B6F">
      <w:pPr>
        <w:numPr>
          <w:ilvl w:val="0"/>
          <w:numId w:val="6"/>
        </w:numPr>
        <w:snapToGrid w:val="0"/>
        <w:spacing w:line="360" w:lineRule="auto"/>
        <w:ind w:left="630" w:leftChars="30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ascii="仿宋" w:hAnsi="仿宋" w:eastAsia="仿宋" w:cs="Segoe UI"/>
          <w:color w:val="404040"/>
          <w:kern w:val="0"/>
          <w:sz w:val="32"/>
          <w:szCs w:val="32"/>
        </w:rPr>
        <w:t>区域创新体系构建</w:t>
      </w:r>
    </w:p>
    <w:p w14:paraId="0C3175BD">
      <w:pPr>
        <w:snapToGrid w:val="0"/>
        <w:spacing w:line="360" w:lineRule="auto"/>
        <w:ind w:left="630"/>
        <w:rPr>
          <w:rFonts w:hint="eastAsia" w:ascii="仿宋" w:hAnsi="仿宋" w:eastAsia="仿宋" w:cs="Segoe UI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Segoe UI"/>
          <w:color w:val="404040"/>
          <w:kern w:val="0"/>
          <w:sz w:val="32"/>
          <w:szCs w:val="32"/>
        </w:rPr>
        <w:t>10.</w:t>
      </w:r>
      <w:r>
        <w:rPr>
          <w:rFonts w:ascii="仿宋" w:hAnsi="仿宋" w:eastAsia="仿宋" w:cs="Segoe UI"/>
          <w:color w:val="404040"/>
          <w:kern w:val="0"/>
          <w:sz w:val="32"/>
          <w:szCs w:val="32"/>
        </w:rPr>
        <w:t>成果转化与知识产权共享机制</w:t>
      </w:r>
    </w:p>
    <w:p w14:paraId="607E80EA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Segoe UI"/>
          <w:b/>
          <w:bCs/>
          <w:color w:val="404040"/>
          <w:kern w:val="0"/>
          <w:sz w:val="32"/>
          <w:szCs w:val="32"/>
        </w:rPr>
        <w:t>其他（内容标题自拟）</w:t>
      </w:r>
    </w:p>
    <w:p w14:paraId="7024861E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32"/>
          <w:szCs w:val="32"/>
        </w:rPr>
      </w:pPr>
    </w:p>
    <w:p w14:paraId="443A296E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28"/>
          <w:szCs w:val="28"/>
        </w:rPr>
      </w:pPr>
    </w:p>
    <w:p w14:paraId="0654369C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28"/>
          <w:szCs w:val="28"/>
        </w:rPr>
      </w:pPr>
    </w:p>
    <w:p w14:paraId="67BFA362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28"/>
          <w:szCs w:val="28"/>
        </w:rPr>
      </w:pPr>
    </w:p>
    <w:p w14:paraId="3DEBE6F4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28"/>
          <w:szCs w:val="28"/>
        </w:rPr>
      </w:pPr>
    </w:p>
    <w:p w14:paraId="1E07FE40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28"/>
          <w:szCs w:val="28"/>
        </w:rPr>
      </w:pPr>
    </w:p>
    <w:p w14:paraId="33B1AE66">
      <w:pPr>
        <w:snapToGrid w:val="0"/>
        <w:spacing w:line="360" w:lineRule="auto"/>
        <w:ind w:left="630" w:leftChars="300"/>
        <w:rPr>
          <w:rFonts w:hint="eastAsia" w:ascii="仿宋" w:hAnsi="仿宋" w:eastAsia="仿宋" w:cs="Segoe UI"/>
          <w:b/>
          <w:bCs/>
          <w:color w:val="404040"/>
          <w:kern w:val="0"/>
          <w:sz w:val="28"/>
          <w:szCs w:val="28"/>
        </w:rPr>
      </w:pPr>
    </w:p>
    <w:bookmarkEnd w:id="1"/>
    <w:p w14:paraId="65733FF1"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0B74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0" b="0"/>
              <wp:wrapNone/>
              <wp:docPr id="1610357804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BC7E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 w14:paraId="3347899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24.1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MC7/fRAAAAAwEAAA8AAAAAAAAAAQAgAAAAIgAAAGRycy9kb3du&#10;cmV2LnhtbFBLAQIUABQAAAAIAIdO4kCAE2zoPwIAAGsEAAAOAAAAAAAAAAEAIAAAACA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C7E5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 w14:paraId="33478990"/>
                </w:txbxContent>
              </v:textbox>
            </v:shape>
          </w:pict>
        </mc:Fallback>
      </mc:AlternateContent>
    </w:r>
  </w:p>
  <w:p w14:paraId="2FC25D6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6D2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C2FF6"/>
    <w:multiLevelType w:val="multilevel"/>
    <w:tmpl w:val="163C2F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AC17383"/>
    <w:multiLevelType w:val="multilevel"/>
    <w:tmpl w:val="2AC173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D47155C"/>
    <w:multiLevelType w:val="multilevel"/>
    <w:tmpl w:val="3D4715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7C2647E"/>
    <w:multiLevelType w:val="multilevel"/>
    <w:tmpl w:val="57C264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B435766"/>
    <w:multiLevelType w:val="multilevel"/>
    <w:tmpl w:val="5B4357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C514BC2"/>
    <w:multiLevelType w:val="multilevel"/>
    <w:tmpl w:val="5C514B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3142B"/>
    <w:rsid w:val="7A3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2026-01-30T02:49:00Z</dcterms:created>
  <dc:creator>李芹</dc:creator>
  <cp:lastModifiedBy>李芹</cp:lastModifiedBy>
  <dcterms:modified xsi:type="dcterms:W3CDTF">2026-01-30T02:50:35Z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8C41E4373E094B72846997B119D30D1C_11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